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wordWrap/>
        <w:topLinePunct w:val="0"/>
        <w:spacing w:before="0" w:beforeAutospacing="0" w:after="0" w:afterAutospacing="0" w:line="580" w:lineRule="exact"/>
        <w:jc w:val="left"/>
        <w:textAlignment w:val="auto"/>
        <w:outlineLvl w:val="9"/>
        <w:rPr>
          <w:rFonts w:hint="default" w:ascii="方正小标宋简体" w:hAnsi="微软雅黑" w:eastAsia="方正小标宋简体"/>
          <w:color w:val="auto"/>
          <w:spacing w:val="-17"/>
          <w:sz w:val="44"/>
          <w:szCs w:val="20"/>
        </w:rPr>
      </w:pPr>
      <w:r>
        <w:rPr>
          <w:rFonts w:hint="eastAsia" w:ascii="方正黑体简体" w:hAnsi="方正黑体简体" w:eastAsia="方正黑体简体"/>
          <w:color w:val="auto"/>
          <w:spacing w:val="-17"/>
          <w:sz w:val="32"/>
          <w:szCs w:val="20"/>
        </w:rPr>
        <w:t>附件1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wordWrap/>
        <w:topLinePunct w:val="0"/>
        <w:spacing w:beforeLines="100" w:beforeAutospacing="0" w:after="0" w:afterAutospacing="0" w:line="580" w:lineRule="exact"/>
        <w:jc w:val="center"/>
        <w:textAlignment w:val="auto"/>
        <w:outlineLvl w:val="9"/>
        <w:rPr>
          <w:rFonts w:ascii="微软雅黑" w:hAnsi="微软雅黑" w:eastAsia="微软雅黑"/>
          <w:color w:val="auto"/>
          <w:spacing w:val="0"/>
          <w:sz w:val="44"/>
          <w:szCs w:val="20"/>
        </w:rPr>
      </w:pPr>
      <w:r>
        <w:rPr>
          <w:rFonts w:hint="eastAsia" w:ascii="方正小标宋简体" w:hAnsi="微软雅黑" w:eastAsia="方正小标宋简体"/>
          <w:color w:val="auto"/>
          <w:spacing w:val="0"/>
          <w:sz w:val="44"/>
          <w:szCs w:val="20"/>
        </w:rPr>
        <w:t>中央国家机关人防工程维护管理检查标准</w:t>
      </w:r>
    </w:p>
    <w:tbl>
      <w:tblPr>
        <w:tblStyle w:val="4"/>
        <w:tblpPr w:leftFromText="180" w:rightFromText="180" w:vertAnchor="text" w:horzAnchor="page" w:tblpX="1807" w:tblpY="59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481"/>
        <w:gridCol w:w="6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ordWrap/>
              <w:topLinePunct w:val="0"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</w:pPr>
            <w:r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ordWrap/>
              <w:topLinePunct w:val="0"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</w:pPr>
            <w:r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  <w:t>内容</w:t>
            </w:r>
          </w:p>
        </w:tc>
        <w:tc>
          <w:tcPr>
            <w:tcW w:w="8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ordWrap/>
              <w:topLinePunct w:val="0"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</w:pPr>
            <w:r>
              <w:rPr>
                <w:rFonts w:hint="eastAsia" w:ascii="方正黑体简体" w:hAnsi="方正黑体简体" w:eastAsia="方正黑体简体"/>
                <w:b w:val="0"/>
                <w:color w:val="auto"/>
                <w:sz w:val="30"/>
                <w:szCs w:val="2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维护管理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制度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1.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维护管理岗位责任制和定期检查、维护等制度完善齐全，分工明确，责任到人；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2.维护管理资金、物资落实到位；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3.维护管理、维修改造等档案完整齐全，检查和维护的频次、内容等记录符合《人民防空工程维护管理技术规程》（</w:t>
            </w:r>
            <w:r>
              <w:rPr>
                <w:rFonts w:ascii="宋体" w:hAnsi="宋体" w:eastAsia="方正仿宋简体"/>
                <w:color w:val="auto"/>
                <w:szCs w:val="20"/>
              </w:rPr>
              <w:t>RFJ</w:t>
            </w:r>
            <w:r>
              <w:rPr>
                <w:rFonts w:hint="default"/>
                <w:color w:val="auto"/>
                <w:szCs w:val="20"/>
              </w:rPr>
              <w:t xml:space="preserve"> </w:t>
            </w:r>
            <w:r>
              <w:rPr>
                <w:rFonts w:ascii="宋体" w:hAnsi="宋体" w:eastAsia="方正仿宋简体"/>
                <w:color w:val="auto"/>
                <w:szCs w:val="20"/>
              </w:rPr>
              <w:t>05-2015）要求；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4.平时使用的工程已办理人防工程平时使用证且使用证处于有效期内，实际用途与证载用途一致；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5.消防、治安等安全管理制度健全，有火灾应急预案并定期演练，未发生安全责任事故；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6.人防工程平战功能转换实施方案完善，并定期演练。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工程口部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1.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工程人员出入口通畅，无各种物资器材、积土或杂物等堆放，无修建的临时设施；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2.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口部防倒塌棚架结构完整，无损坏、无锈蚀；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3.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通风竖井、排烟井、人员进出竖井等各种井道的挡雨盖板（帽）保持完好，井道内、外保持整洁，无杂物堆放；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4.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采光窗的防护挡板完整，窗井内外保持整洁，无杂物堆放；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topLinePunct w:val="0"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5.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扩散(活门)室无杂物。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工程结构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1.工程结构完好，</w:t>
            </w:r>
            <w:r>
              <w:rPr>
                <w:rFonts w:hint="default"/>
                <w:color w:val="auto"/>
                <w:szCs w:val="20"/>
              </w:rPr>
              <w:t>未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出现沉陷、裂缝等现象，混凝土表面未有侵蚀、风化、疏松、脱落、掉角等现象；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</w:t>
            </w:r>
            <w:r>
              <w:rPr>
                <w:rFonts w:hint="eastAsia" w:eastAsia="方正仿宋简体"/>
                <w:color w:val="auto"/>
                <w:szCs w:val="20"/>
              </w:rPr>
              <w:t>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在工程的外围护结构、门框墙、临空墙、密闭隔墙上无后开孔洞；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3.工程结构无渗漏水，地面无积水，工程内外排水畅通，无倒灌；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4.工程内部建筑装饰结构完整，地面、墙面和顶面装饰材料表面清洁、干燥、平整，无变形、松动、脱落、损坏、锈蚀、霉烂等现象，内部环境整洁，空气和饮用水符合国家有关卫生标准。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四</w:t>
            </w:r>
          </w:p>
        </w:tc>
        <w:tc>
          <w:tcPr>
            <w:tcW w:w="2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设备设施维护（孔口防护：人防门、封堵构件、防爆波活门、挡窗板等）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1.设备设施完整，无附件损坏，无零部件缺失，除封堵构件、人防门活门槛外均已安装到位，封堵构件、人防门活门槛保管妥善；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2.设备设施整洁、干燥，各部件表面无损坏，无变形，油漆层完好，金属件无锈蚀，各种橡胶件完整、清洁，无老化或破损</w:t>
            </w:r>
            <w:r>
              <w:rPr>
                <w:rFonts w:hint="eastAsia" w:eastAsia="方正仿宋简体"/>
                <w:color w:val="auto"/>
                <w:szCs w:val="20"/>
              </w:rPr>
              <w:t>；标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牌完好，封堵门框槽及门框螺栓孔清洁、无堵塞；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3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.门扇、活门扇、活门板、挡窗板窗扇、闭锁等启闭灵活、到位；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4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.人防门关闭后密闭胶条压缩均匀，门扇与门框贴合度符合要求，防爆波活门板关闭后与底座板贴合严密，挡窗板窗扇关闭严密。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设备设施维护（通风空调：油网滤尘器、过滤吸收器、密闭阀门、自动排气活门、测压装置、通风机、通风管道、除湿设备等）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1.设备设施完整，无附件损坏，无零部件缺失；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2.设备设施整洁、干燥，各部件表面无损坏，无变形，油漆层完好，金属件无锈蚀，各种橡胶件完整、清洁、无老化或破损，软管、软连接等不松动、不漏气，着色及标志完好；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3.密闭阀、自动排气活门、风量调节阀、其他阀门开启灵活，关闭严密；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4.油网滤尘器安装方向正确，固定牢靠，过滤吸收器安装方向正确，未超出使用年限；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5.风机启动灵敏，工作正常，无异响，无漏风，人力手摇或脚踏驱动风机时，传动部分运转灵活正常；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6.测压计工作正常；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7.通风管道无漏风、堵塞、积水</w:t>
            </w:r>
            <w:r>
              <w:rPr>
                <w:rFonts w:hint="default"/>
                <w:color w:val="auto"/>
                <w:szCs w:val="20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8.除湿设备工作正常、效果良好。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设备设施维护（给排水：管道、储水箱（池）、阀门、地漏、排水构筑物、洗消系统、水泵、供油系统、电加热器、卫生设备、消防设施等）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1.设备设施完整，无附件损坏，无零部件缺失；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2.设备设施整洁，各部件表面无损坏，无变形，油漆层完好，金属件无锈蚀，防爆地漏密封垫圈、洗消冲洗胶管等无老化或破损；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3.给排水、输油等管道畅通，无渗漏，无堵塞；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4.已安装的储水箱（池）、储油池（箱）无渗漏；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5.排水构筑物(污水集水池、防爆化粪池、排水防爆波井、检查井等)无沉积物，定期清掏；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6.各种阀门启闭灵活，无渗漏，地漏开启灵活、排水通畅、无堵塞，防爆地漏密闭性符合要求；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7.水泵运行平稳，无异响，工作性能正常；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8.卫生设备、消防设备使用正常。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七</w:t>
            </w:r>
          </w:p>
        </w:tc>
        <w:tc>
          <w:tcPr>
            <w:tcW w:w="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设备设施维护（供配电、照明及通信：配电箱、控制箱、柴油发电机组、电缆及配线、电缆沟(井、通道)、照明系统、通风方式信号灯箱、防爆波呼叫按钮、火灾报警系统等）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1</w:t>
            </w:r>
            <w:r>
              <w:rPr>
                <w:rFonts w:hint="eastAsia" w:eastAsia="方正仿宋简体"/>
                <w:color w:val="auto"/>
                <w:szCs w:val="20"/>
              </w:rPr>
              <w:t>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设备设施</w:t>
            </w:r>
            <w:r>
              <w:rPr>
                <w:rFonts w:hint="eastAsia" w:eastAsia="方正仿宋简体"/>
                <w:color w:val="auto"/>
                <w:szCs w:val="20"/>
              </w:rPr>
              <w:t>（含电缆沟、井、通道）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完整，无附件损坏，无零部件缺失；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2.设备设施</w:t>
            </w:r>
            <w:r>
              <w:rPr>
                <w:rFonts w:hint="eastAsia" w:eastAsia="方正仿宋简体"/>
                <w:color w:val="auto"/>
                <w:szCs w:val="20"/>
              </w:rPr>
              <w:t>（含电缆沟、井、通道）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整洁，设备及部件固定牢靠，标牌、标识等清晰完整，金属件无锈蚀，电缆电线布线整齐、接线牢固、接触良好、无明显老化、无绝缘破损，接地线做法规范、连接良好；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3.柴油发电机组平时安装到位的，发电机组运行平稳，工作状态正常，机房内通风系统、冷却系统、排烟系统、供油系统、起动系统（蓄电池）工作正常，</w:t>
            </w:r>
            <w:r>
              <w:rPr>
                <w:rFonts w:ascii="宋体" w:hAnsi="宋体" w:eastAsia="方正仿宋简体"/>
                <w:color w:val="auto"/>
                <w:szCs w:val="20"/>
              </w:rPr>
              <w:t>机房内温度、污染物控制等满足要求；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4.配电系统、照明系统、通风方式信号灯箱、防爆波呼叫按钮等设备设施工作正常；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Cs w:val="20"/>
              </w:rPr>
              <w:t>5.无任意接线用电</w:t>
            </w:r>
            <w:r>
              <w:rPr>
                <w:rFonts w:hint="eastAsia" w:eastAsia="方正仿宋简体"/>
                <w:color w:val="auto"/>
                <w:szCs w:val="20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6.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应急照明设备数量充足，性能良好；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wordWrap/>
              <w:topLinePunct w:val="0"/>
              <w:spacing w:before="0" w:beforeAutospacing="0" w:after="0" w:afterAutospacing="0" w:line="320" w:lineRule="exact"/>
              <w:textAlignment w:val="auto"/>
              <w:outlineLvl w:val="9"/>
              <w:rPr>
                <w:rFonts w:ascii="宋体" w:hAnsi="宋体" w:eastAsia="方正仿宋简体"/>
                <w:color w:val="auto"/>
                <w:sz w:val="27"/>
                <w:szCs w:val="20"/>
              </w:rPr>
            </w:pPr>
            <w:r>
              <w:rPr>
                <w:rFonts w:hint="eastAsia" w:eastAsia="方正仿宋简体"/>
                <w:color w:val="auto"/>
                <w:szCs w:val="20"/>
              </w:rPr>
              <w:t>7</w:t>
            </w:r>
            <w:r>
              <w:rPr>
                <w:rFonts w:hint="eastAsia" w:ascii="宋体" w:hAnsi="宋体" w:eastAsia="方正仿宋简体"/>
                <w:color w:val="auto"/>
                <w:szCs w:val="20"/>
              </w:rPr>
              <w:t>.火灾报警系统工作正常。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firstLine="240" w:firstLineChars="100"/>
        <w:textAlignment w:val="auto"/>
        <w:outlineLvl w:val="9"/>
        <w:rPr>
          <w:rFonts w:ascii="宋体" w:hAnsi="宋体" w:eastAsia="方正仿宋简体"/>
          <w:color w:val="auto"/>
          <w:szCs w:val="20"/>
        </w:rPr>
      </w:pPr>
      <w:r>
        <w:rPr>
          <w:rFonts w:ascii="宋体" w:hAnsi="宋体" w:eastAsia="方正仿宋简体"/>
          <w:color w:val="auto"/>
          <w:szCs w:val="20"/>
        </w:rPr>
        <w:t>注：</w:t>
      </w:r>
      <w:r>
        <w:rPr>
          <w:rFonts w:hint="eastAsia" w:eastAsia="方正仿宋简体"/>
          <w:color w:val="auto"/>
          <w:szCs w:val="20"/>
        </w:rPr>
        <w:t>1.</w:t>
      </w:r>
      <w:r>
        <w:rPr>
          <w:rFonts w:ascii="宋体" w:hAnsi="宋体" w:eastAsia="方正仿宋简体"/>
          <w:color w:val="auto"/>
          <w:szCs w:val="20"/>
        </w:rPr>
        <w:t>表中未列出的其他人防、消防、安防、卫生、智能化等设备设施也应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firstLine="240" w:firstLineChars="100"/>
        <w:textAlignment w:val="auto"/>
        <w:outlineLvl w:val="9"/>
        <w:rPr>
          <w:rFonts w:hint="eastAsia" w:eastAsia="方正仿宋简体"/>
          <w:color w:val="auto"/>
          <w:szCs w:val="20"/>
        </w:rPr>
      </w:pPr>
      <w:r>
        <w:rPr>
          <w:rFonts w:ascii="宋体" w:hAnsi="宋体" w:eastAsia="方正仿宋简体"/>
          <w:color w:val="auto"/>
          <w:szCs w:val="20"/>
        </w:rPr>
        <w:t>保持良好状态，满足人防工程维护管理及平时使用要求</w:t>
      </w:r>
      <w:r>
        <w:rPr>
          <w:color w:val="auto"/>
          <w:szCs w:val="20"/>
        </w:rPr>
        <w:t>；</w:t>
      </w:r>
      <w:r>
        <w:rPr>
          <w:rFonts w:hint="eastAsia" w:eastAsia="方正仿宋简体"/>
          <w:color w:val="auto"/>
          <w:szCs w:val="20"/>
        </w:rPr>
        <w:t>2.经中央国家机关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firstLine="240" w:firstLineChars="100"/>
        <w:textAlignment w:val="auto"/>
        <w:outlineLvl w:val="9"/>
        <w:rPr>
          <w:rFonts w:hint="eastAsia" w:eastAsia="方正仿宋简体"/>
          <w:color w:val="auto"/>
          <w:szCs w:val="20"/>
        </w:rPr>
      </w:pPr>
      <w:r>
        <w:rPr>
          <w:rFonts w:hint="eastAsia" w:eastAsia="方正仿宋简体"/>
          <w:color w:val="auto"/>
          <w:szCs w:val="20"/>
        </w:rPr>
        <w:t>人防办批准退出战备序列的人防工程，参照普通地</w:t>
      </w:r>
      <w:bookmarkStart w:id="0" w:name="_GoBack"/>
      <w:bookmarkEnd w:id="0"/>
      <w:r>
        <w:rPr>
          <w:rFonts w:hint="eastAsia" w:eastAsia="方正仿宋简体"/>
          <w:color w:val="auto"/>
          <w:szCs w:val="20"/>
        </w:rPr>
        <w:t>下室进行维护检查，不执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firstLine="240" w:firstLineChars="100"/>
        <w:textAlignment w:val="auto"/>
        <w:outlineLvl w:val="9"/>
        <w:rPr>
          <w:rFonts w:hint="default" w:ascii="宋体" w:hAnsi="宋体" w:eastAsia="方正仿宋简体"/>
          <w:color w:val="auto"/>
          <w:szCs w:val="20"/>
        </w:rPr>
      </w:pPr>
      <w:r>
        <w:rPr>
          <w:rFonts w:hint="eastAsia" w:eastAsia="方正仿宋简体"/>
          <w:color w:val="auto"/>
          <w:szCs w:val="20"/>
        </w:rPr>
        <w:t>行本标准。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DejaVu San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ejaVu San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EDB5C0"/>
    <w:rsid w:val="9F1F14D8"/>
    <w:rsid w:val="EC79C07C"/>
    <w:rsid w:val="EFEEB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7"/>
      </w:tabs>
      <w:kinsoku/>
      <w:overflowPunct/>
      <w:autoSpaceDE/>
      <w:autoSpaceDN/>
      <w:adjustRightInd/>
      <w:snapToGrid w:val="0"/>
      <w:spacing w:line="240" w:lineRule="auto"/>
      <w:jc w:val="left"/>
    </w:pPr>
    <w:rPr>
      <w:rFonts w:ascii="宋体" w:hAnsi="宋体" w:eastAsia="方正仿宋简体" w:cs="Times New Roman"/>
      <w:kern w:val="2"/>
      <w:sz w:val="18"/>
      <w:lang w:val="en-US" w:eastAsia="zh-CN"/>
    </w:rPr>
  </w:style>
  <w:style w:type="paragraph" w:styleId="3">
    <w:name w:val="Normal (Web)"/>
    <w:qFormat/>
    <w:uiPriority w:val="0"/>
    <w:pPr>
      <w:widowControl w:val="0"/>
      <w:kinsoku/>
      <w:overflowPunct/>
      <w:autoSpaceDE/>
      <w:autoSpaceDN/>
      <w:adjustRightInd/>
      <w:snapToGrid/>
      <w:spacing w:line="240" w:lineRule="auto"/>
      <w:jc w:val="both"/>
    </w:pPr>
    <w:rPr>
      <w:rFonts w:ascii="宋体" w:hAnsi="宋体" w:eastAsia="方正仿宋简体" w:cs="Times New Roman"/>
      <w:kern w:val="2"/>
      <w:sz w:val="24"/>
      <w:lang w:val="en-US" w:eastAsia="zh-CN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guory</cp:lastModifiedBy>
  <dcterms:modified xsi:type="dcterms:W3CDTF">2022-08-30T09:59:21Z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